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ty12z1q9wiyx" w:id="0"/>
      <w:bookmarkEnd w:id="0"/>
      <w:r w:rsidDel="00000000" w:rsidR="00000000" w:rsidRPr="00000000">
        <w:rPr>
          <w:b w:val="1"/>
          <w:sz w:val="34"/>
          <w:szCs w:val="34"/>
          <w:rtl w:val="0"/>
        </w:rPr>
        <w:t xml:space="preserve">Regulativa Europske unije</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a19n6wsrc3js" w:id="1"/>
      <w:bookmarkEnd w:id="1"/>
      <w:r w:rsidDel="00000000" w:rsidR="00000000" w:rsidRPr="00000000">
        <w:rPr>
          <w:b w:val="1"/>
          <w:color w:val="000000"/>
          <w:sz w:val="26"/>
          <w:szCs w:val="26"/>
          <w:rtl w:val="0"/>
        </w:rPr>
        <w:t xml:space="preserve">Pravni status Ubera na razini EU</w:t>
      </w:r>
    </w:p>
    <w:p w:rsidR="00000000" w:rsidDel="00000000" w:rsidP="00000000" w:rsidRDefault="00000000" w:rsidRPr="00000000" w14:paraId="00000003">
      <w:pPr>
        <w:spacing w:after="240" w:before="240" w:lineRule="auto"/>
        <w:rPr/>
      </w:pPr>
      <w:r w:rsidDel="00000000" w:rsidR="00000000" w:rsidRPr="00000000">
        <w:rPr>
          <w:rtl w:val="0"/>
        </w:rPr>
        <w:t xml:space="preserve">Na razini Europske unije dugo se raspravljalo kakva je pravna narav Ubera – digitalna usluga posredovanja ili prijevozna usluga. Ključni događaj za regulativu EU bila je presuda Suda Europske unije krajem 2017. godine u predmetu </w:t>
      </w:r>
      <w:r w:rsidDel="00000000" w:rsidR="00000000" w:rsidRPr="00000000">
        <w:rPr>
          <w:i w:val="1"/>
          <w:rtl w:val="0"/>
        </w:rPr>
        <w:t xml:space="preserve">Asociación Profesional Elite Taxi v. Uber Systems Spain</w:t>
      </w:r>
      <w:r w:rsidDel="00000000" w:rsidR="00000000" w:rsidRPr="00000000">
        <w:rPr>
          <w:rtl w:val="0"/>
        </w:rPr>
        <w:t xml:space="preserve"> (C-434/15). U toj odluci Sud EU je utvrdio da usluga koju pruža Uber, povezujući putem aplikacije putnike s vozačima koji nisu profesionalni taksisti, </w:t>
      </w:r>
      <w:r w:rsidDel="00000000" w:rsidR="00000000" w:rsidRPr="00000000">
        <w:rPr>
          <w:b w:val="1"/>
          <w:rtl w:val="0"/>
        </w:rPr>
        <w:t xml:space="preserve">predstavlja “uslugu u području prijevoza”</w:t>
      </w:r>
      <w:r w:rsidDel="00000000" w:rsidR="00000000" w:rsidRPr="00000000">
        <w:rPr>
          <w:rtl w:val="0"/>
        </w:rPr>
        <w:t xml:space="preserve">. To praktično znači da se Uber </w:t>
      </w:r>
      <w:r w:rsidDel="00000000" w:rsidR="00000000" w:rsidRPr="00000000">
        <w:rPr>
          <w:b w:val="1"/>
          <w:rtl w:val="0"/>
        </w:rPr>
        <w:t xml:space="preserve">mora klasificirati kao pružatelj usluge prijevoza</w:t>
      </w:r>
      <w:r w:rsidDel="00000000" w:rsidR="00000000" w:rsidRPr="00000000">
        <w:rPr>
          <w:rtl w:val="0"/>
        </w:rPr>
        <w:t xml:space="preserve">, a ne samo informacijska digitalna platforma, te da države članice </w:t>
      </w:r>
      <w:r w:rsidDel="00000000" w:rsidR="00000000" w:rsidRPr="00000000">
        <w:rPr>
          <w:b w:val="1"/>
          <w:rtl w:val="0"/>
        </w:rPr>
        <w:t xml:space="preserve">smiju regulirati uvjete za pružanje te usluge</w:t>
      </w:r>
      <w:r w:rsidDel="00000000" w:rsidR="00000000" w:rsidRPr="00000000">
        <w:rPr>
          <w:rtl w:val="0"/>
        </w:rPr>
        <w:t xml:space="preserve"> kao i za ostale prijevozničke usluge. Presuda je razriješila dotadašnje dvojbe o primjeni EU propisa o elektroničkim uslugama na Uber – zaključeno je da se na Uber ne primjenjuje režim slobodnog pružanja usluga informacijskog društva, već da potpada pod regulaciju sektora prijevoza putnika.</w:t>
      </w:r>
    </w:p>
    <w:p w:rsidR="00000000" w:rsidDel="00000000" w:rsidP="00000000" w:rsidRDefault="00000000" w:rsidRPr="00000000" w14:paraId="00000004">
      <w:pPr>
        <w:spacing w:after="240" w:before="240" w:lineRule="auto"/>
        <w:rPr/>
      </w:pPr>
      <w:r w:rsidDel="00000000" w:rsidR="00000000" w:rsidRPr="00000000">
        <w:rPr>
          <w:rtl w:val="0"/>
        </w:rPr>
        <w:t xml:space="preserve">Ova presuda Suda EU imala je dalekosežne implikacije. Jasno je potvrđeno da se Uber u europskom kontekstu treba </w:t>
      </w:r>
      <w:r w:rsidDel="00000000" w:rsidR="00000000" w:rsidRPr="00000000">
        <w:rPr>
          <w:b w:val="1"/>
          <w:rtl w:val="0"/>
        </w:rPr>
        <w:t xml:space="preserve">regulirati kao transportna usluga, podložna istim pravilima kao i taksi prijevoz</w:t>
      </w:r>
      <w:r w:rsidDel="00000000" w:rsidR="00000000" w:rsidRPr="00000000">
        <w:rPr>
          <w:rtl w:val="0"/>
        </w:rPr>
        <w:t xml:space="preserve">. Istovremeno je naglašeno da </w:t>
      </w:r>
      <w:r w:rsidDel="00000000" w:rsidR="00000000" w:rsidRPr="00000000">
        <w:rPr>
          <w:b w:val="1"/>
          <w:rtl w:val="0"/>
        </w:rPr>
        <w:t xml:space="preserve">ta pravila nisu harmonizirana na razini Unije, već ih svaka država članica (pa čak i gradovi) određuju pojedinačno</w:t>
      </w:r>
      <w:r w:rsidDel="00000000" w:rsidR="00000000" w:rsidRPr="00000000">
        <w:rPr>
          <w:rtl w:val="0"/>
        </w:rPr>
        <w:t xml:space="preserve">. Drugim riječima, EU nije donijela jedinstveni propis koji bi izravno regulirao usluge prijevoza na zahtjev putem platformi, već je to područje prepušteno nacionalnim zakonodavstvima zemalja članica. Sud je također obrazložio da su usluge prijevoza putnika na zahtjev (poput taksija i najma vozila s vozačem) trenutno </w:t>
      </w:r>
      <w:r w:rsidDel="00000000" w:rsidR="00000000" w:rsidRPr="00000000">
        <w:rPr>
          <w:b w:val="1"/>
          <w:rtl w:val="0"/>
        </w:rPr>
        <w:t xml:space="preserve">izvan područja usklađivanja na razini EU</w:t>
      </w:r>
      <w:r w:rsidDel="00000000" w:rsidR="00000000" w:rsidRPr="00000000">
        <w:rPr>
          <w:rtl w:val="0"/>
        </w:rPr>
        <w:t xml:space="preserve">, te stoga </w:t>
      </w:r>
      <w:r w:rsidDel="00000000" w:rsidR="00000000" w:rsidRPr="00000000">
        <w:rPr>
          <w:b w:val="1"/>
          <w:rtl w:val="0"/>
        </w:rPr>
        <w:t xml:space="preserve">države članice mogu slobodno uređivati to tržište u skladu sa svojim javnim interesima</w:t>
      </w:r>
      <w:r w:rsidDel="00000000" w:rsidR="00000000" w:rsidRPr="00000000">
        <w:rPr>
          <w:rtl w:val="0"/>
        </w:rPr>
        <w:t xml:space="preserve">, uz poštivanje temeljnih odredbi Ugovora o EU (primjerice, slobode poslovnog nastana).</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u797tgqncm57" w:id="2"/>
      <w:bookmarkEnd w:id="2"/>
      <w:r w:rsidDel="00000000" w:rsidR="00000000" w:rsidRPr="00000000">
        <w:rPr>
          <w:b w:val="1"/>
          <w:color w:val="000000"/>
          <w:sz w:val="26"/>
          <w:szCs w:val="26"/>
          <w:rtl w:val="0"/>
        </w:rPr>
        <w:t xml:space="preserve">EU politike prema platformama za prijevoz</w:t>
      </w:r>
    </w:p>
    <w:p w:rsidR="00000000" w:rsidDel="00000000" w:rsidP="00000000" w:rsidRDefault="00000000" w:rsidRPr="00000000" w14:paraId="00000006">
      <w:pPr>
        <w:spacing w:after="240" w:before="240" w:lineRule="auto"/>
        <w:rPr/>
      </w:pPr>
      <w:r w:rsidDel="00000000" w:rsidR="00000000" w:rsidRPr="00000000">
        <w:rPr>
          <w:rtl w:val="0"/>
        </w:rPr>
        <w:t xml:space="preserve">Paralelno s pravosudnim epilogom, razvijao se i širi stav europskih institucija prema platformama za prijevoz putnika u sklopu tzv. ekonomije suradnje. </w:t>
      </w:r>
      <w:r w:rsidDel="00000000" w:rsidR="00000000" w:rsidRPr="00000000">
        <w:rPr>
          <w:b w:val="1"/>
          <w:rtl w:val="0"/>
        </w:rPr>
        <w:t xml:space="preserve">Europska komisija</w:t>
      </w:r>
      <w:r w:rsidDel="00000000" w:rsidR="00000000" w:rsidRPr="00000000">
        <w:rPr>
          <w:rtl w:val="0"/>
        </w:rPr>
        <w:t xml:space="preserve"> je još 2016. godine, kroz </w:t>
      </w:r>
      <w:r w:rsidDel="00000000" w:rsidR="00000000" w:rsidRPr="00000000">
        <w:rPr>
          <w:i w:val="1"/>
          <w:rtl w:val="0"/>
        </w:rPr>
        <w:t xml:space="preserve">Europsku agendu za ekonomiju suradnje</w:t>
      </w:r>
      <w:r w:rsidDel="00000000" w:rsidR="00000000" w:rsidRPr="00000000">
        <w:rPr>
          <w:rtl w:val="0"/>
        </w:rPr>
        <w:t xml:space="preserve">, poslala jasnu poruku da države članice </w:t>
      </w:r>
      <w:r w:rsidDel="00000000" w:rsidR="00000000" w:rsidRPr="00000000">
        <w:rPr>
          <w:b w:val="1"/>
          <w:rtl w:val="0"/>
        </w:rPr>
        <w:t xml:space="preserve">ne bi trebale uvoditi neopravdane regulatorne prepreke i administrativne troškove za nove poslovne modele</w:t>
      </w:r>
      <w:r w:rsidDel="00000000" w:rsidR="00000000" w:rsidRPr="00000000">
        <w:rPr>
          <w:rtl w:val="0"/>
        </w:rPr>
        <w:t xml:space="preserve"> koji se razvijaju zahvaljujući digitalnim platformama. Ovakav stav Komisije poticao je traženje rješenja koji integriraju inovativne usluge poput Ubera u postojeće okvire, umjesto njihovog zabranjivanja. Primjerice, u izvješćima Komisije upozoravalo se na to da pretjerana ograničenja za pružatelje usluga ekonomije dijeljenja mogu kočiti inovacije i štetiti konkurentnosti europskog gospodarstva.</w:t>
      </w:r>
    </w:p>
    <w:p w:rsidR="00000000" w:rsidDel="00000000" w:rsidP="00000000" w:rsidRDefault="00000000" w:rsidRPr="00000000" w14:paraId="00000007">
      <w:pPr>
        <w:spacing w:after="240" w:before="240" w:lineRule="auto"/>
        <w:rPr/>
      </w:pPr>
      <w:r w:rsidDel="00000000" w:rsidR="00000000" w:rsidRPr="00000000">
        <w:rPr>
          <w:rtl w:val="0"/>
        </w:rPr>
        <w:t xml:space="preserve">Međutim, u praksi su se pristupi različitih članica razlikovali prije nego što je došla pravna klarifikacija Suda EU. </w:t>
      </w:r>
      <w:r w:rsidDel="00000000" w:rsidR="00000000" w:rsidRPr="00000000">
        <w:rPr>
          <w:b w:val="1"/>
          <w:rtl w:val="0"/>
        </w:rPr>
        <w:t xml:space="preserve">Neke zemlje i gradovi privremeno su zabranili Uberove usluge</w:t>
      </w:r>
      <w:r w:rsidDel="00000000" w:rsidR="00000000" w:rsidRPr="00000000">
        <w:rPr>
          <w:rtl w:val="0"/>
        </w:rPr>
        <w:t xml:space="preserve"> (posebice uslugu </w:t>
      </w:r>
      <w:r w:rsidDel="00000000" w:rsidR="00000000" w:rsidRPr="00000000">
        <w:rPr>
          <w:i w:val="1"/>
          <w:rtl w:val="0"/>
        </w:rPr>
        <w:t xml:space="preserve">UberPOP</w:t>
      </w:r>
      <w:r w:rsidDel="00000000" w:rsidR="00000000" w:rsidRPr="00000000">
        <w:rPr>
          <w:rtl w:val="0"/>
        </w:rPr>
        <w:t xml:space="preserve"> koja je angažirala neprofesionalne vozače) jer su smatrali da krše lokalne propise o prijevozu. Tako je, primjerice, nakon tužbi taksi-udruženja </w:t>
      </w:r>
      <w:r w:rsidDel="00000000" w:rsidR="00000000" w:rsidRPr="00000000">
        <w:rPr>
          <w:i w:val="1"/>
          <w:rtl w:val="0"/>
        </w:rPr>
        <w:t xml:space="preserve">UberPOP</w:t>
      </w:r>
      <w:r w:rsidDel="00000000" w:rsidR="00000000" w:rsidRPr="00000000">
        <w:rPr>
          <w:rtl w:val="0"/>
        </w:rPr>
        <w:t xml:space="preserve"> morao biti suspendiran u Španjolskoj i nekim drugim državama članicama sve dok Uber nije prilagodio model poslovanja lokalnim zakonima. Nakon presude Suda EU, Uber je već najavio da će surađivati s vlastima u europskim gradovima i </w:t>
      </w:r>
      <w:r w:rsidDel="00000000" w:rsidR="00000000" w:rsidRPr="00000000">
        <w:rPr>
          <w:b w:val="1"/>
          <w:rtl w:val="0"/>
        </w:rPr>
        <w:t xml:space="preserve">pridržavati se prometnih propisa</w:t>
      </w:r>
      <w:r w:rsidDel="00000000" w:rsidR="00000000" w:rsidRPr="00000000">
        <w:rPr>
          <w:rtl w:val="0"/>
        </w:rPr>
        <w:t xml:space="preserve">, što je u praksi uglavnom značilo rad samo s licenciranim vozačima i poštivanje lokalnih pravila za taksi djelatnost.</w:t>
      </w:r>
    </w:p>
    <w:p w:rsidR="00000000" w:rsidDel="00000000" w:rsidP="00000000" w:rsidRDefault="00000000" w:rsidRPr="00000000" w14:paraId="00000008">
      <w:pPr>
        <w:spacing w:after="240" w:before="240" w:lineRule="auto"/>
        <w:rPr/>
      </w:pPr>
      <w:r w:rsidDel="00000000" w:rsidR="00000000" w:rsidRPr="00000000">
        <w:rPr>
          <w:rtl w:val="0"/>
        </w:rPr>
        <w:t xml:space="preserve">Ukratko, na razini EU uspostavljen je konsenzus da se platforme poput Ubera </w:t>
      </w:r>
      <w:r w:rsidDel="00000000" w:rsidR="00000000" w:rsidRPr="00000000">
        <w:rPr>
          <w:b w:val="1"/>
          <w:rtl w:val="0"/>
        </w:rPr>
        <w:t xml:space="preserve">moraju uklopiti u postojeći regulatorni okvir za prijevoz putnika</w:t>
      </w:r>
      <w:r w:rsidDel="00000000" w:rsidR="00000000" w:rsidRPr="00000000">
        <w:rPr>
          <w:rtl w:val="0"/>
        </w:rPr>
        <w:t xml:space="preserve">, umjesto da djeluju u pravnoj sivoj zoni. EU nije donijela poseban zakon za “ridesharing” usluge, ali je kroz sudsku praksu i smjernice Komisije jasno odredila da se inovacije trebaju </w:t>
      </w:r>
      <w:r w:rsidDel="00000000" w:rsidR="00000000" w:rsidRPr="00000000">
        <w:rPr>
          <w:b w:val="1"/>
          <w:rtl w:val="0"/>
        </w:rPr>
        <w:t xml:space="preserve">integrirati na tržište uz očuvanje javnog interesa</w:t>
      </w:r>
      <w:r w:rsidDel="00000000" w:rsidR="00000000" w:rsidRPr="00000000">
        <w:rPr>
          <w:rtl w:val="0"/>
        </w:rPr>
        <w:t xml:space="preserve"> – omogućiti konkurenciju i nove usluge, ali osigurati i poštivanje osnovnih standarda (sigurnost putnika, licenciranje, plaćanje poreza i dr.).</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